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409f3d36ec445d0" /></Relationships>
</file>

<file path=word/document.xml><?xml version="1.0" encoding="utf-8"?>
<w:document xmlns:w="http://schemas.openxmlformats.org/wordprocessingml/2006/main">
  <w:body>
    <w:tbl>
      <w:tblPr>
        <w:tblW w:w="9000" w:type="dxa"/>
        <w:tblBorders>
          <w:top w:val="nil"/>
          <w:bottom w:val="nil"/>
          <w:left w:val="nil"/>
          <w:right w:val="nil"/>
          <w:insideH w:val="nil"/>
          <w:insideV w:val="nil"/>
        </w:tblBorders>
        <w:tblCellSpacing w:w="60" w:type="dxa"/>
        <w:shd w:val="clear" w:color="auto" w:fill="E7F0F9"/>
      </w:tblPr>
      <w:tblGrid>
        <w:gridCol w:w="1200"/>
        <w:gridCol w:w="4500"/>
      </w:tblGrid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RKP broj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28573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Naziv obveznika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OPĆINA PETROVSKO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Razina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23</w:t>
            </w:r>
          </w:p>
        </w:tc>
      </w:tr>
    </w:tbl>
    <w:p>
      <w:r>
        <w:br/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BILJEŠKE UZ FINANCIJSKE IZVJEŠTAJE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ZA RAZDOBLJE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I - VI 2025.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prihodima i rashodima, primicima i izdacima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0" w:type="auto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460.169,01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573.437,74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124,6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404.963,14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689.318,13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170,2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POSLOVANJA (šifre Z005-6)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115.880,39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32.809,50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203.750,08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621,0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32.809,50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203.750,08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621,0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63.535,16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VIŠAK/MANJAK PRIMITAKA OD FINANCIJSKE IMOVINE I ZADUŽIVANJA (šifre 8-5, 5-8)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X003, Y003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63.535,16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I PRIMITAKA (šifre Y345-X678)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41.138,79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319.630,47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777,0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Uvidom u račune prihoda i rashoda, primitaka i izdataka utvrđeno je sljedeće:  PRIHODI I PRIMICI 573.437,74 eura, RASHODI I IZDACI   893.068,21 eura,   VIŠAK PRIHODA POSLOVANJA PRENESENI  240.486,90 eura,  MANJAK PRIHODA I PRIMITAKA ZA POKRIĆE U SLJEDEĆEM RAZDOBLJU 79.143,57 eura</w:t>
      </w:r>
    </w:p>
    <w:p>
      <w:r>
        <w:br/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460.169,01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573.437,74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124,6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razdoblju od siječanja do lipnja 2025. godine Općina Petrovsko sveukupno je ostvarila prihode poslovanja u iznosu od 573.437,74 eura i isti su u odnosu na isto razdoblje prethodne godine veći za 24,6% (113.268,73 eura) što se najvećim dijelom odnosi na odjeljak 6111 Prihode od poreza na dohodak koji su u odnosu na isto razdoblje prethodne godine veći za 32,1% (116.876,57 eura) i odjeljak 6353 Pomoći fiskalnog izravnanja gdje je zabilježeno povećanje od 33,8% (19.104,78 eura).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404.963,14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689.318,13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170,2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poslovanja su u odnosu na isto razdoblje prethodne godine veći za 70,2% (284.354,99 eura). Najveći udio povećanja rashoda poslovanja odnosi se na odjeljak 3232 Usluge tekućeg i investicijskog održavanja odnosno usluge tekućeg i investicijskog održavanja nerazvrstanih cesta koje su u istom razdoblju 2024. godine iznosile 79.812,64 eura, dok u 2025. godini iznose 314.822,74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Naknade za rad predstavničkih i izvršnih tijela, povjerenstava i slično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3.120,94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39.455,18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1264,2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Odjeljak 3291 Naknade za rad predstavničkih i izvršnih tijela, povjerenstva i slično bilježe povećanje od 1.164,2% (36.334,24 eura) što se odnosi na troškove lokalnih izbora 1. i 2. kruga u lipnju 2025. godine.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32.809,50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203.750,08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621,0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nabavu nefinancijske imovine u iznosu od 203.750,08 eura su u odnosu na prethodnu godinu veći za 521% (170.940,58 eura), a što se odnosi na izgradnju javne rasvjete u iznosu 193.063,08 eura za koju rashodi u istom razdoblju prethodne godine nisu zabilježeni.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obvezama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obveza na kraju izvještajnog razdoblja (šifre V001+V002-V004) i (šifre V007+V009)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390.814,29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 dan 30.6.2025. obveze ukupno iznose 390.814,29 eura od čega je 163.253,57 eura dospjelih obveza, a 227.560,72 eura je nedospjelo.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dospjelih obveza na kraju izvještajnog razdoblja (šifre V008+D23+D24 + 'D dio 25,26' + 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163.253,57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ranijem dogovoru sa dobavljačima dio dospjelih obveza je podmiren do 10.07.2025. u iznosu od 6.574,79 eura, dok je za ostatak dospjelih obveza koje se odnose na tvrtku Colas Hrvatska d.d. iz Varaždina u iznosu od 156.678,78 eura dogovorena odgoda plaćanja iz razloga koji su poznati naručitelju i izvođaču radova.</w:t>
      </w:r>
    </w:p>
    <w:p/>
  </w:body>
</w:document>
</file>

<file path=word/styles.xml><?xml version="1.0" encoding="utf-8"?>
<w:styles xmlns:w="http://schemas.openxmlformats.org/wordprocessingml/2006/main">
  <w:style w:type="paragraph" w:styleId="Normal" w:default="true">
    <w:name w:val="Normal"/>
    <w:rPr>
      <w:rFonts w:ascii="Times New Roman" w:hAnsi="Times New Roman"/>
      <w:sz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a76720d121494bee" /></Relationships>
</file>